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116D" w14:textId="7FB23A02" w:rsidR="001A62A0" w:rsidRPr="00241437" w:rsidRDefault="005D5466" w:rsidP="008B6CFF">
      <w:pPr>
        <w:pStyle w:val="Title"/>
        <w:spacing w:before="0"/>
        <w:ind w:left="0" w:right="0"/>
        <w:rPr>
          <w:rFonts w:asciiTheme="minorHAnsi" w:hAnsiTheme="minorHAnsi" w:cstheme="minorHAnsi"/>
          <w:b/>
          <w:bCs/>
          <w:sz w:val="22"/>
          <w:szCs w:val="22"/>
        </w:rPr>
      </w:pPr>
      <w:r w:rsidRPr="00241437">
        <w:rPr>
          <w:rFonts w:asciiTheme="minorHAnsi" w:hAnsiTheme="minorHAnsi" w:cstheme="minorHAnsi"/>
          <w:b/>
          <w:bCs/>
          <w:w w:val="90"/>
          <w:sz w:val="22"/>
          <w:szCs w:val="22"/>
        </w:rPr>
        <w:t>Zanidatamab dose optimization in patients with HER2-positive biliary tract cancer</w:t>
      </w:r>
      <w:r w:rsidRPr="002414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1437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241437">
        <w:rPr>
          <w:rFonts w:asciiTheme="minorHAnsi" w:hAnsiTheme="minorHAnsi" w:cstheme="minorHAnsi"/>
          <w:b/>
          <w:bCs/>
          <w:sz w:val="22"/>
          <w:szCs w:val="22"/>
        </w:rPr>
        <w:t>BTC</w:t>
      </w:r>
      <w:proofErr w:type="spellEnd"/>
      <w:r w:rsidRPr="00241437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36EEBC15" w14:textId="77777777" w:rsidR="008B6CFF" w:rsidRPr="00633D28" w:rsidRDefault="008B6CFF" w:rsidP="008B6CFF">
      <w:pPr>
        <w:pStyle w:val="Title"/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</w:p>
    <w:p w14:paraId="761A116E" w14:textId="77777777" w:rsidR="001A62A0" w:rsidRPr="00633D28" w:rsidRDefault="005D5466" w:rsidP="008B6CFF">
      <w:pPr>
        <w:rPr>
          <w:rFonts w:asciiTheme="minorHAnsi" w:hAnsiTheme="minorHAnsi" w:cstheme="minorHAnsi"/>
        </w:rPr>
      </w:pPr>
      <w:r w:rsidRPr="00633D28">
        <w:rPr>
          <w:rFonts w:asciiTheme="minorHAnsi" w:hAnsiTheme="minorHAnsi" w:cstheme="minorHAnsi"/>
        </w:rPr>
        <w:t>Sheryl</w:t>
      </w:r>
      <w:r w:rsidRPr="00633D28">
        <w:rPr>
          <w:rFonts w:asciiTheme="minorHAnsi" w:hAnsiTheme="minorHAnsi" w:cstheme="minorHAnsi"/>
          <w:spacing w:val="-12"/>
        </w:rPr>
        <w:t xml:space="preserve"> </w:t>
      </w:r>
      <w:r w:rsidRPr="00633D28">
        <w:rPr>
          <w:rFonts w:asciiTheme="minorHAnsi" w:hAnsiTheme="minorHAnsi" w:cstheme="minorHAnsi"/>
        </w:rPr>
        <w:t>Trueman,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633D28">
        <w:rPr>
          <w:rFonts w:asciiTheme="minorHAnsi" w:hAnsiTheme="minorHAnsi" w:cstheme="minorHAnsi"/>
        </w:rPr>
        <w:t>Liviawati</w:t>
      </w:r>
      <w:proofErr w:type="spellEnd"/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Wu,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Suzette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Girgis,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Kedar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Vaidya,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Funda</w:t>
      </w:r>
      <w:r w:rsidRPr="00633D28">
        <w:rPr>
          <w:rFonts w:asciiTheme="minorHAnsi" w:hAnsiTheme="minorHAnsi" w:cstheme="minorHAnsi"/>
          <w:spacing w:val="-12"/>
        </w:rPr>
        <w:t xml:space="preserve"> </w:t>
      </w:r>
      <w:r w:rsidRPr="00633D28">
        <w:rPr>
          <w:rFonts w:asciiTheme="minorHAnsi" w:hAnsiTheme="minorHAnsi" w:cstheme="minorHAnsi"/>
        </w:rPr>
        <w:t>Meric-Bernstam,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James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  <w:w w:val="125"/>
        </w:rPr>
        <w:t>J.</w:t>
      </w:r>
      <w:r w:rsidRPr="00633D28">
        <w:rPr>
          <w:rFonts w:asciiTheme="minorHAnsi" w:hAnsiTheme="minorHAnsi" w:cstheme="minorHAnsi"/>
          <w:spacing w:val="-14"/>
          <w:w w:val="125"/>
        </w:rPr>
        <w:t xml:space="preserve"> </w:t>
      </w:r>
      <w:r w:rsidRPr="00633D28">
        <w:rPr>
          <w:rFonts w:asciiTheme="minorHAnsi" w:hAnsiTheme="minorHAnsi" w:cstheme="minorHAnsi"/>
        </w:rPr>
        <w:t>Harding,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Shubham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Pant,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Yi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Zhao,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Phillip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M.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>Garfin,</w:t>
      </w:r>
      <w:r w:rsidRPr="00633D28">
        <w:rPr>
          <w:rFonts w:asciiTheme="minorHAnsi" w:hAnsiTheme="minorHAnsi" w:cstheme="minorHAnsi"/>
          <w:spacing w:val="-12"/>
        </w:rPr>
        <w:t xml:space="preserve"> </w:t>
      </w:r>
      <w:r w:rsidRPr="00633D28">
        <w:rPr>
          <w:rFonts w:asciiTheme="minorHAnsi" w:hAnsiTheme="minorHAnsi" w:cstheme="minorHAnsi"/>
        </w:rPr>
        <w:t>Robert</w:t>
      </w:r>
      <w:r w:rsidRPr="00633D28">
        <w:rPr>
          <w:rFonts w:asciiTheme="minorHAnsi" w:hAnsiTheme="minorHAnsi" w:cstheme="minorHAnsi"/>
          <w:spacing w:val="-11"/>
        </w:rPr>
        <w:t xml:space="preserve"> </w:t>
      </w:r>
      <w:r w:rsidRPr="00633D28">
        <w:rPr>
          <w:rFonts w:asciiTheme="minorHAnsi" w:hAnsiTheme="minorHAnsi" w:cstheme="minorHAnsi"/>
        </w:rPr>
        <w:t xml:space="preserve">Iannone, </w:t>
      </w:r>
      <w:r w:rsidRPr="00633D28">
        <w:rPr>
          <w:rFonts w:asciiTheme="minorHAnsi" w:hAnsiTheme="minorHAnsi" w:cstheme="minorHAnsi"/>
          <w:spacing w:val="-4"/>
        </w:rPr>
        <w:t>Honghui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Zhou,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Joanne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Ma;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Jazz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Pharmaceuticals,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Palo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Alto,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CA;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The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University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of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Texas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MD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Anderson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Cancer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Center,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Houston,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TX;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Memorial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Sloan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>Kettering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4"/>
        </w:rPr>
        <w:t xml:space="preserve">Cancer </w:t>
      </w:r>
      <w:r w:rsidRPr="00633D28">
        <w:rPr>
          <w:rFonts w:asciiTheme="minorHAnsi" w:hAnsiTheme="minorHAnsi" w:cstheme="minorHAnsi"/>
          <w:spacing w:val="-2"/>
        </w:rPr>
        <w:t>Center,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New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York,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NY;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BeiGene</w:t>
      </w:r>
      <w:r w:rsidRPr="00633D28">
        <w:rPr>
          <w:rFonts w:asciiTheme="minorHAnsi" w:hAnsiTheme="minorHAnsi" w:cstheme="minorHAnsi"/>
          <w:spacing w:val="-9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Ltd.,</w:t>
      </w:r>
      <w:r w:rsidRPr="00633D28">
        <w:rPr>
          <w:rFonts w:asciiTheme="minorHAnsi" w:hAnsiTheme="minorHAnsi" w:cstheme="minorHAnsi"/>
          <w:spacing w:val="-7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Beijing,</w:t>
      </w:r>
      <w:r w:rsidRPr="00633D28">
        <w:rPr>
          <w:rFonts w:asciiTheme="minorHAnsi" w:hAnsiTheme="minorHAnsi" w:cstheme="minorHAnsi"/>
          <w:spacing w:val="-8"/>
        </w:rPr>
        <w:t xml:space="preserve"> </w:t>
      </w:r>
      <w:r w:rsidRPr="00633D28">
        <w:rPr>
          <w:rFonts w:asciiTheme="minorHAnsi" w:hAnsiTheme="minorHAnsi" w:cstheme="minorHAnsi"/>
          <w:spacing w:val="-2"/>
        </w:rPr>
        <w:t>China</w:t>
      </w:r>
    </w:p>
    <w:p w14:paraId="761A116F" w14:textId="77777777" w:rsidR="001A62A0" w:rsidRPr="00633D28" w:rsidRDefault="001A62A0" w:rsidP="008B6CF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61A1170" w14:textId="77777777" w:rsidR="001A62A0" w:rsidRPr="00633D28" w:rsidRDefault="001A62A0" w:rsidP="008B6CF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61A1171" w14:textId="6286DA02" w:rsidR="001A62A0" w:rsidRPr="00633D28" w:rsidRDefault="005D5466" w:rsidP="008B6CF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633D28">
        <w:rPr>
          <w:rFonts w:asciiTheme="minorHAnsi" w:hAnsiTheme="minorHAnsi" w:cstheme="minorHAnsi"/>
          <w:w w:val="110"/>
          <w:sz w:val="22"/>
          <w:szCs w:val="22"/>
        </w:rPr>
        <w:t>Background: Zanidatamab (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w w:val="110"/>
          <w:sz w:val="22"/>
          <w:szCs w:val="22"/>
        </w:rPr>
        <w:t>) is a dual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 xml:space="preserve"> HER2-targeted bispecific antibody that binds 2 distinct HER2 domains, resulting in receptor crosslinking, clustering, and internalization as well as leading to reductions in cell-surface levels of HER2, phosphorylation of HER family members (EGFR, HER2, and 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HER3</w:t>
      </w:r>
      <w:proofErr w:type="spellEnd"/>
      <w:r w:rsidRPr="00633D28">
        <w:rPr>
          <w:rFonts w:asciiTheme="minorHAnsi" w:hAnsiTheme="minorHAnsi" w:cstheme="minorHAnsi"/>
          <w:w w:val="110"/>
          <w:sz w:val="22"/>
          <w:szCs w:val="22"/>
        </w:rPr>
        <w:t xml:space="preserve">), downstream signaling, and ligand-dependent and </w:t>
      </w:r>
      <w:r w:rsidRPr="00633D28">
        <w:rPr>
          <w:rFonts w:asciiTheme="minorHAnsi" w:hAnsiTheme="minorHAnsi" w:cstheme="minorHAnsi"/>
          <w:w w:val="115"/>
          <w:sz w:val="22"/>
          <w:szCs w:val="22"/>
        </w:rPr>
        <w:t xml:space="preserve">-in-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dependent proliferation. Zani also induces complement-dependent cytotoxicity as well as antibody-dependent</w:t>
      </w:r>
      <w:r w:rsidRPr="00633D28">
        <w:rPr>
          <w:rFonts w:asciiTheme="minorHAnsi" w:hAnsiTheme="minorHAnsi" w:cstheme="minorHAnsi"/>
          <w:spacing w:val="2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cellular</w:t>
      </w:r>
      <w:r w:rsidRPr="00633D28">
        <w:rPr>
          <w:rFonts w:asciiTheme="minorHAnsi" w:hAnsiTheme="minorHAnsi" w:cstheme="minorHAnsi"/>
          <w:spacing w:val="2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cytotoxicity</w:t>
      </w:r>
      <w:r w:rsidRPr="00633D28">
        <w:rPr>
          <w:rFonts w:asciiTheme="minorHAnsi" w:hAnsiTheme="minorHAnsi" w:cstheme="minorHAnsi"/>
          <w:spacing w:val="27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and phagocytosis.</w:t>
      </w:r>
      <w:r w:rsidRPr="00633D28">
        <w:rPr>
          <w:rFonts w:asciiTheme="minorHAnsi" w:hAnsiTheme="minorHAnsi" w:cstheme="minorHAnsi"/>
          <w:spacing w:val="2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In the phase</w:t>
      </w:r>
      <w:r w:rsidRPr="00633D28">
        <w:rPr>
          <w:rFonts w:asciiTheme="minorHAnsi" w:hAnsiTheme="minorHAnsi" w:cstheme="minorHAnsi"/>
          <w:spacing w:val="2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 xml:space="preserve">2 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HERIZON-BTC</w:t>
      </w:r>
      <w:proofErr w:type="spellEnd"/>
      <w:r w:rsidRPr="00633D28">
        <w:rPr>
          <w:rFonts w:asciiTheme="minorHAnsi" w:hAnsiTheme="minorHAnsi" w:cstheme="minorHAnsi"/>
          <w:w w:val="110"/>
          <w:sz w:val="22"/>
          <w:szCs w:val="22"/>
        </w:rPr>
        <w:t>- 01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study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(Study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203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),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20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demonstrated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a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41.3%</w:t>
      </w:r>
      <w:r w:rsidRPr="00633D28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confirmed</w:t>
      </w:r>
      <w:r w:rsidRPr="00633D28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objective</w:t>
      </w:r>
      <w:r w:rsidRPr="00633D28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 xml:space="preserve">response </w:t>
      </w:r>
      <w:r w:rsidRPr="00633D28">
        <w:rPr>
          <w:rFonts w:asciiTheme="minorHAnsi" w:hAnsiTheme="minorHAnsi" w:cstheme="minorHAnsi"/>
          <w:sz w:val="22"/>
          <w:szCs w:val="22"/>
        </w:rPr>
        <w:t>rate (</w:t>
      </w:r>
      <w:proofErr w:type="spellStart"/>
      <w:r w:rsidRPr="00633D28">
        <w:rPr>
          <w:rFonts w:asciiTheme="minorHAnsi" w:hAnsiTheme="minorHAnsi" w:cstheme="minorHAnsi"/>
          <w:sz w:val="22"/>
          <w:szCs w:val="22"/>
        </w:rPr>
        <w:t>cORR</w:t>
      </w:r>
      <w:proofErr w:type="spellEnd"/>
      <w:r w:rsidRPr="00633D28">
        <w:rPr>
          <w:rFonts w:asciiTheme="minorHAnsi" w:hAnsiTheme="minorHAnsi" w:cstheme="minorHAnsi"/>
          <w:sz w:val="22"/>
          <w:szCs w:val="22"/>
        </w:rPr>
        <w:t xml:space="preserve">) and a manageable safety profile in patients (pts) with previously treated HER2+ </w:t>
      </w:r>
      <w:proofErr w:type="spellStart"/>
      <w:r w:rsidRPr="00633D28">
        <w:rPr>
          <w:rFonts w:asciiTheme="minorHAnsi" w:hAnsiTheme="minorHAnsi" w:cstheme="minorHAnsi"/>
          <w:sz w:val="22"/>
          <w:szCs w:val="22"/>
        </w:rPr>
        <w:t>BTC</w:t>
      </w:r>
      <w:proofErr w:type="spellEnd"/>
      <w:r w:rsidRPr="00633D28">
        <w:rPr>
          <w:rFonts w:asciiTheme="minorHAnsi" w:hAnsiTheme="minorHAnsi" w:cstheme="minorHAnsi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w w:val="110"/>
          <w:sz w:val="22"/>
          <w:szCs w:val="22"/>
        </w:rPr>
        <w:t>(</w:t>
      </w:r>
      <w:proofErr w:type="spellStart"/>
      <w:r w:rsidRPr="00633D28">
        <w:rPr>
          <w:rFonts w:asciiTheme="minorHAnsi" w:hAnsiTheme="minorHAnsi" w:cstheme="minorHAnsi"/>
          <w:w w:val="110"/>
          <w:sz w:val="22"/>
          <w:szCs w:val="22"/>
        </w:rPr>
        <w:t>IHC3</w:t>
      </w:r>
      <w:proofErr w:type="spellEnd"/>
      <w:r w:rsidRPr="00633D28">
        <w:rPr>
          <w:rFonts w:asciiTheme="minorHAnsi" w:hAnsiTheme="minorHAnsi" w:cstheme="minorHAnsi"/>
          <w:w w:val="110"/>
          <w:sz w:val="22"/>
          <w:szCs w:val="22"/>
        </w:rPr>
        <w:t>+/2+ and ISH+).</w:t>
      </w:r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 xml:space="preserve"> The </w:t>
      </w:r>
      <w:proofErr w:type="gramStart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>objective</w:t>
      </w:r>
      <w:proofErr w:type="gramEnd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 xml:space="preserve"> of this analysis is to report </w:t>
      </w:r>
      <w:proofErr w:type="gramStart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>optimal</w:t>
      </w:r>
      <w:proofErr w:type="gramEnd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 xml:space="preserve"> dose selection for zanidatamab in patients with HER2+ </w:t>
      </w:r>
      <w:proofErr w:type="spellStart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>BTC</w:t>
      </w:r>
      <w:proofErr w:type="spellEnd"/>
      <w:r w:rsidR="003326C5" w:rsidRPr="00633D28">
        <w:rPr>
          <w:rFonts w:asciiTheme="minorHAnsi" w:hAnsiTheme="minorHAnsi" w:cstheme="minorHAnsi"/>
          <w:w w:val="110"/>
          <w:sz w:val="22"/>
          <w:szCs w:val="22"/>
        </w:rPr>
        <w:t xml:space="preserve"> through pha</w:t>
      </w:r>
      <w:r w:rsidR="008B6CFF" w:rsidRPr="00633D28">
        <w:rPr>
          <w:rFonts w:asciiTheme="minorHAnsi" w:hAnsiTheme="minorHAnsi" w:cstheme="minorHAnsi"/>
          <w:w w:val="110"/>
          <w:sz w:val="22"/>
          <w:szCs w:val="22"/>
        </w:rPr>
        <w:t xml:space="preserve">rmacokinetic modeling. </w:t>
      </w:r>
      <w:r w:rsidRPr="00633D28">
        <w:rPr>
          <w:rFonts w:asciiTheme="minorHAnsi" w:hAnsiTheme="minorHAnsi" w:cstheme="minorHAnsi"/>
          <w:color w:val="000000"/>
          <w:sz w:val="22"/>
          <w:szCs w:val="22"/>
        </w:rPr>
        <w:t>Methods:</w:t>
      </w:r>
      <w:r w:rsidRPr="00633D28">
        <w:rPr>
          <w:rFonts w:asciiTheme="minorHAnsi" w:hAnsiTheme="minorHAnsi" w:cstheme="minorHAnsi"/>
          <w:color w:val="000000"/>
          <w:spacing w:val="18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sz w:val="22"/>
          <w:szCs w:val="22"/>
        </w:rPr>
        <w:t>Source</w:t>
      </w:r>
      <w:r w:rsidRPr="00633D28">
        <w:rPr>
          <w:rFonts w:asciiTheme="minorHAnsi" w:hAnsiTheme="minorHAnsi" w:cstheme="minorHAnsi"/>
          <w:color w:val="000000"/>
          <w:spacing w:val="4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data included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</w:t>
      </w:r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phase</w:t>
      </w:r>
      <w:proofErr w:type="gramEnd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1 </w:t>
      </w:r>
      <w:proofErr w:type="spellStart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ZW25</w:t>
      </w:r>
      <w:proofErr w:type="spellEnd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-101 study (Study 101; </w:t>
      </w:r>
      <w:proofErr w:type="spellStart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NCT02892123</w:t>
      </w:r>
      <w:proofErr w:type="spellEnd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), Study 203 (</w:t>
      </w:r>
      <w:proofErr w:type="spellStart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NCT04466891</w:t>
      </w:r>
      <w:proofErr w:type="spellEnd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), and in vitro study for ligand-dependent growth inhibition (</w:t>
      </w:r>
      <w:proofErr w:type="spellStart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LDGI</w:t>
      </w:r>
      <w:proofErr w:type="spellEnd"/>
      <w:r w:rsidR="008B6CFF"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) in HER2- expressing human cancer cell lines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. In the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LDGI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study, cancer cells were cultured in media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containing</w:t>
      </w:r>
      <w:proofErr w:type="gram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epidermal growth factor and were treated with different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concentrations. The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IC90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value for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LDGI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was obtained by nonlinear regression using the logistic dose-response model.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To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assess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target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saturation,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population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pharmacokinetic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model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was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used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to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simulate clearance</w:t>
      </w:r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at</w:t>
      </w:r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steady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state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following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5"/>
          <w:sz w:val="22"/>
          <w:szCs w:val="22"/>
        </w:rPr>
        <w:t>5-30</w:t>
      </w:r>
      <w:r w:rsidRPr="00633D28">
        <w:rPr>
          <w:rFonts w:asciiTheme="minorHAnsi" w:hAnsiTheme="minorHAnsi" w:cstheme="minorHAnsi"/>
          <w:color w:val="000000"/>
          <w:spacing w:val="-5"/>
          <w:w w:val="115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.</w:t>
      </w:r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clinical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utility</w:t>
      </w:r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spacing w:val="-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was</w:t>
      </w:r>
      <w:r w:rsidRPr="00633D28">
        <w:rPr>
          <w:rFonts w:asciiTheme="minorHAnsi" w:hAnsiTheme="minorHAnsi" w:cstheme="minorHAnsi"/>
          <w:color w:val="000000"/>
          <w:spacing w:val="-3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evaluated based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on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correlation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concentrations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with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both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efficacy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and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safety.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Results: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Study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101 included 192 patients with HER2-expressing solid tumors (dose ranged from </w:t>
      </w:r>
      <w:r w:rsidRPr="00633D28">
        <w:rPr>
          <w:rFonts w:asciiTheme="minorHAnsi" w:hAnsiTheme="minorHAnsi" w:cstheme="minorHAnsi"/>
          <w:color w:val="000000"/>
          <w:w w:val="115"/>
          <w:sz w:val="22"/>
          <w:szCs w:val="22"/>
        </w:rPr>
        <w:t xml:space="preserve">5-30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 including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QW,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,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and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Q3W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).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Ctrough</w:t>
      </w:r>
      <w:proofErr w:type="spellEnd"/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values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following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first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5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color w:val="000000"/>
          <w:spacing w:val="-9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QW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dose were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below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IC90</w:t>
      </w:r>
      <w:proofErr w:type="spellEnd"/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(25.0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mg/mL)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for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LDGI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,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and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no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confirmed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responses</w:t>
      </w:r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were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observed</w:t>
      </w:r>
      <w:proofErr w:type="gramEnd"/>
      <w:r w:rsidRPr="00633D28">
        <w:rPr>
          <w:rFonts w:asciiTheme="minorHAnsi" w:hAnsiTheme="minorHAnsi" w:cstheme="minorHAnsi"/>
          <w:color w:val="000000"/>
          <w:spacing w:val="-10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at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this dose.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Ctrough</w:t>
      </w:r>
      <w:proofErr w:type="spellEnd"/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values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following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first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dose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10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QW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or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20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were above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IC90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and the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2</w:t>
      </w:r>
      <w:proofErr w:type="gram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dose levels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demonstrated</w:t>
      </w:r>
      <w:proofErr w:type="gram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a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cORR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of 25% and 28.6%, respectively. The simulated clearance suggests that the target-mediated elimination pathway was saturated at 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dose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level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20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mg/kg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,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since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clearance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was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comparable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to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that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higher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dose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of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30 mg/kg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. The efficacy and safety of 20 mg/kg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was further evaluated in 87 pts with HER2-amplified</w:t>
      </w:r>
      <w:r w:rsidRPr="00633D28">
        <w:rPr>
          <w:rFonts w:asciiTheme="minorHAnsi" w:hAnsiTheme="minorHAnsi" w:cstheme="minorHAnsi"/>
          <w:color w:val="000000"/>
          <w:spacing w:val="-4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BTC</w:t>
      </w:r>
      <w:proofErr w:type="spellEnd"/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enrolled</w:t>
      </w:r>
      <w:r w:rsidRPr="00633D28">
        <w:rPr>
          <w:rFonts w:asciiTheme="minorHAnsi" w:hAnsiTheme="minorHAnsi" w:cstheme="minorHAnsi"/>
          <w:color w:val="000000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in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Study</w:t>
      </w:r>
      <w:r w:rsidRPr="00633D28">
        <w:rPr>
          <w:rFonts w:asciiTheme="minorHAnsi" w:hAnsiTheme="minorHAnsi" w:cstheme="minorHAnsi"/>
          <w:color w:val="000000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203.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7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clinical</w:t>
      </w:r>
      <w:r w:rsidRPr="00633D28">
        <w:rPr>
          <w:rFonts w:asciiTheme="minorHAnsi" w:hAnsiTheme="minorHAnsi" w:cstheme="minorHAnsi"/>
          <w:color w:val="000000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utility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analysis</w:t>
      </w:r>
      <w:r w:rsidRPr="00633D28">
        <w:rPr>
          <w:rFonts w:asciiTheme="minorHAnsi" w:hAnsiTheme="minorHAnsi" w:cstheme="minorHAnsi"/>
          <w:color w:val="000000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based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on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5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data</w:t>
      </w:r>
      <w:r w:rsidRPr="00633D28">
        <w:rPr>
          <w:rFonts w:asciiTheme="minorHAnsi" w:hAnsiTheme="minorHAnsi" w:cstheme="minorHAnsi"/>
          <w:color w:val="000000"/>
          <w:spacing w:val="-6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from Study 203 </w:t>
      </w:r>
      <w:proofErr w:type="gram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demonstrated</w:t>
      </w:r>
      <w:proofErr w:type="gram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that the majority of pts had an exposure range on the plateau part of the efficacy curve. Conclusions: The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zani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dose of 20 mg/kg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Q2W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is expected to maximize the clinical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benefit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for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pts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with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HER2+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BTC</w:t>
      </w:r>
      <w:proofErr w:type="spellEnd"/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based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on: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reaching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the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desired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target</w:t>
      </w:r>
      <w:r w:rsidRPr="00633D28">
        <w:rPr>
          <w:rFonts w:asciiTheme="minorHAnsi" w:hAnsiTheme="minorHAnsi" w:cstheme="minorHAnsi"/>
          <w:color w:val="000000"/>
          <w:spacing w:val="-11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exposure</w:t>
      </w:r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(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IC90</w:t>
      </w:r>
      <w:proofErr w:type="spellEnd"/>
      <w:r w:rsidRPr="00633D28">
        <w:rPr>
          <w:rFonts w:asciiTheme="minorHAnsi" w:hAnsiTheme="minorHAnsi" w:cstheme="minorHAnsi"/>
          <w:color w:val="000000"/>
          <w:spacing w:val="-12"/>
          <w:w w:val="110"/>
          <w:sz w:val="22"/>
          <w:szCs w:val="22"/>
        </w:rPr>
        <w:t xml:space="preserve"> </w:t>
      </w:r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for </w:t>
      </w:r>
      <w:proofErr w:type="spellStart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LDGI</w:t>
      </w:r>
      <w:proofErr w:type="spellEnd"/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>), saturating target-mediated elimination pathway, and the clinical utility analysis of safety and efficacy. Higher exposures are not expected to result in higher responses. Clinical trial information:</w:t>
      </w:r>
      <w:r w:rsidRPr="00633D28">
        <w:rPr>
          <w:rFonts w:asciiTheme="minorHAnsi" w:hAnsiTheme="minorHAnsi" w:cstheme="minorHAnsi"/>
          <w:color w:val="000000"/>
          <w:spacing w:val="40"/>
          <w:w w:val="110"/>
          <w:sz w:val="22"/>
          <w:szCs w:val="22"/>
        </w:rPr>
        <w:t xml:space="preserve"> </w:t>
      </w:r>
      <w:hyperlink r:id="rId6">
        <w:proofErr w:type="spellStart"/>
        <w:r w:rsidRPr="00633D28">
          <w:rPr>
            <w:rFonts w:asciiTheme="minorHAnsi" w:hAnsiTheme="minorHAnsi" w:cstheme="minorHAnsi"/>
            <w:color w:val="000000"/>
            <w:w w:val="110"/>
            <w:sz w:val="22"/>
            <w:szCs w:val="22"/>
          </w:rPr>
          <w:t>NCT02892123</w:t>
        </w:r>
        <w:proofErr w:type="spellEnd"/>
        <w:r w:rsidRPr="00633D28">
          <w:rPr>
            <w:rFonts w:asciiTheme="minorHAnsi" w:hAnsiTheme="minorHAnsi" w:cstheme="minorHAnsi"/>
            <w:color w:val="000000"/>
            <w:w w:val="110"/>
            <w:sz w:val="22"/>
            <w:szCs w:val="22"/>
          </w:rPr>
          <w:t>,</w:t>
        </w:r>
      </w:hyperlink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</w:t>
      </w:r>
      <w:hyperlink r:id="rId7">
        <w:proofErr w:type="spellStart"/>
        <w:r w:rsidRPr="00633D28">
          <w:rPr>
            <w:rFonts w:asciiTheme="minorHAnsi" w:hAnsiTheme="minorHAnsi" w:cstheme="minorHAnsi"/>
            <w:color w:val="000000"/>
            <w:w w:val="110"/>
            <w:sz w:val="22"/>
            <w:szCs w:val="22"/>
          </w:rPr>
          <w:t>NCT04466891</w:t>
        </w:r>
        <w:proofErr w:type="spellEnd"/>
        <w:r w:rsidRPr="00633D28">
          <w:rPr>
            <w:rFonts w:asciiTheme="minorHAnsi" w:hAnsiTheme="minorHAnsi" w:cstheme="minorHAnsi"/>
            <w:color w:val="000000"/>
            <w:w w:val="110"/>
            <w:sz w:val="22"/>
            <w:szCs w:val="22"/>
          </w:rPr>
          <w:t>.</w:t>
        </w:r>
      </w:hyperlink>
      <w:r w:rsidRPr="00633D28">
        <w:rPr>
          <w:rFonts w:asciiTheme="minorHAnsi" w:hAnsiTheme="minorHAnsi" w:cstheme="minorHAnsi"/>
          <w:color w:val="000000"/>
          <w:w w:val="110"/>
          <w:sz w:val="22"/>
          <w:szCs w:val="22"/>
        </w:rPr>
        <w:t xml:space="preserve"> Research Sponsor: Jazz Pharmaceuticals.</w:t>
      </w:r>
    </w:p>
    <w:sectPr w:rsidR="001A62A0" w:rsidRPr="00633D28" w:rsidSect="008B6CFF">
      <w:footerReference w:type="default" r:id="rId8"/>
      <w:type w:val="continuous"/>
      <w:pgSz w:w="11700" w:h="1566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66D3" w14:textId="77777777" w:rsidR="005D5466" w:rsidRDefault="005D5466" w:rsidP="008B6CFF">
      <w:r>
        <w:separator/>
      </w:r>
    </w:p>
  </w:endnote>
  <w:endnote w:type="continuationSeparator" w:id="0">
    <w:p w14:paraId="52750D87" w14:textId="77777777" w:rsidR="005D5466" w:rsidRDefault="005D5466" w:rsidP="008B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C3ED" w14:textId="271F860C" w:rsidR="008B6CFF" w:rsidRPr="00633D28" w:rsidRDefault="008B6CFF">
    <w:pPr>
      <w:pStyle w:val="Footer"/>
      <w:rPr>
        <w:rFonts w:asciiTheme="minorHAnsi" w:hAnsiTheme="minorHAnsi" w:cstheme="minorHAnsi"/>
        <w:sz w:val="20"/>
        <w:szCs w:val="20"/>
      </w:rPr>
    </w:pPr>
    <w:r w:rsidRPr="00633D28">
      <w:rPr>
        <w:rFonts w:asciiTheme="minorHAnsi" w:hAnsiTheme="minorHAnsi" w:cstheme="minorHAnsi"/>
        <w:sz w:val="20"/>
        <w:szCs w:val="20"/>
      </w:rPr>
      <w:t>ASCO-GI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7063" w14:textId="77777777" w:rsidR="005D5466" w:rsidRDefault="005D5466" w:rsidP="008B6CFF">
      <w:r>
        <w:separator/>
      </w:r>
    </w:p>
  </w:footnote>
  <w:footnote w:type="continuationSeparator" w:id="0">
    <w:p w14:paraId="1072C793" w14:textId="77777777" w:rsidR="005D5466" w:rsidRDefault="005D5466" w:rsidP="008B6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62A0"/>
    <w:rsid w:val="001A62A0"/>
    <w:rsid w:val="00241437"/>
    <w:rsid w:val="002E5723"/>
    <w:rsid w:val="003326C5"/>
    <w:rsid w:val="005D5466"/>
    <w:rsid w:val="00633D28"/>
    <w:rsid w:val="008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A116A"/>
  <w15:docId w15:val="{285E6DD7-6402-47D1-8B7F-CD808248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88"/>
      <w:ind w:left="31" w:right="733"/>
    </w:pPr>
    <w:rPr>
      <w:rFonts w:ascii="Lucida Sans" w:eastAsia="Lucida Sans" w:hAnsi="Lucida Sans" w:cs="Lucida Sans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6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CFF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8B6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CF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linicaltrials.gov/ct2/show/NCT044668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inicaltrials.gov/ct2/show/NCT028921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3054</Characters>
  <Application>Microsoft Office Word</Application>
  <DocSecurity>0</DocSecurity>
  <Lines>43</Lines>
  <Paragraphs>3</Paragraphs>
  <ScaleCrop>false</ScaleCrop>
  <Company>BeiGene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Zanidatamab dose optimization in patients with HER2-positive biliary tract cancer (BTC).</dc:title>
  <dc:subject>J Clin Oncol 2025.43:546-546</dc:subject>
  <cp:lastModifiedBy>Diana Lam</cp:lastModifiedBy>
  <cp:revision>5</cp:revision>
  <dcterms:created xsi:type="dcterms:W3CDTF">2026-06-10T18:40:00Z</dcterms:created>
  <dcterms:modified xsi:type="dcterms:W3CDTF">2026-06-10T18:46:00Z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Arbortext Advanced Print Publisher 9.1.510/W Unicode</vt:lpwstr>
  </property>
  <property fmtid="{D5CDD505-2E9C-101B-9397-08002B2CF9AE}" pid="4" name="CrossMarkDomains[1]">
    <vt:lpwstr>ascopubs.org</vt:lpwstr>
  </property>
  <property fmtid="{D5CDD505-2E9C-101B-9397-08002B2CF9AE}" pid="5" name="CrossmarkDomainExclusive">
    <vt:lpwstr>true</vt:lpwstr>
  </property>
  <property fmtid="{D5CDD505-2E9C-101B-9397-08002B2CF9AE}" pid="6" name="CrossmarkMajorVersionDate">
    <vt:lpwstr>2025-01-27</vt:lpwstr>
  </property>
  <property fmtid="{D5CDD505-2E9C-101B-9397-08002B2CF9AE}" pid="7" name="LastSaved">
    <vt:filetime>2026-06-10T00:00:00Z</vt:filetime>
  </property>
  <property fmtid="{D5CDD505-2E9C-101B-9397-08002B2CF9AE}" pid="8" name="Producer">
    <vt:lpwstr>Acrobat Distiller 7.0 (Windows); modified using iText 4.2.0 by 1T3XT</vt:lpwstr>
  </property>
  <property fmtid="{D5CDD505-2E9C-101B-9397-08002B2CF9AE}" pid="9" name="doi">
    <vt:lpwstr>10.1200/JCO.2025.43.4_suppl.546</vt:lpwstr>
  </property>
</Properties>
</file>